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A" w:rsidRDefault="000E21DA" w:rsidP="000E21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6665">
        <w:rPr>
          <w:rFonts w:ascii="Times New Roman" w:hAnsi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sz w:val="24"/>
          <w:szCs w:val="24"/>
        </w:rPr>
        <w:t>экзамену по дисциплине Агрохимия</w:t>
      </w:r>
    </w:p>
    <w:p w:rsidR="000E21DA" w:rsidRPr="008D6665" w:rsidRDefault="000E21DA" w:rsidP="000E21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E21DA" w:rsidRPr="008D6665" w:rsidRDefault="000E21DA" w:rsidP="000E21DA">
      <w:pPr>
        <w:numPr>
          <w:ilvl w:val="1"/>
          <w:numId w:val="1"/>
        </w:numPr>
        <w:spacing w:after="0" w:line="240" w:lineRule="auto"/>
        <w:ind w:left="709" w:hanging="589"/>
        <w:contextualSpacing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Предмет, методы и задачи агрохимии.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Роль русских и зарубежных ученых в развитии учения о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Химизация земледелия. Состояние и перспективы применения удобрений и средств химиз</w:t>
      </w:r>
      <w:r w:rsidRPr="008D6665">
        <w:rPr>
          <w:rFonts w:ascii="Times New Roman" w:hAnsi="Times New Roman"/>
          <w:sz w:val="24"/>
          <w:szCs w:val="24"/>
        </w:rPr>
        <w:t>а</w:t>
      </w:r>
      <w:r w:rsidRPr="008D6665">
        <w:rPr>
          <w:rFonts w:ascii="Times New Roman" w:hAnsi="Times New Roman"/>
          <w:sz w:val="24"/>
          <w:szCs w:val="24"/>
        </w:rPr>
        <w:t>ции в РФ и Ставропольском крае.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Влияние удобрений на устойчивость растений к вредителям, болезням и сорнякам.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Периодичность поступления питательных веществ в растения и способы ее регулирования.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Химический состав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Вынос элементов питания урожаем сельскохозяйственных культур.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Основные теории поглощения элементов питания растениями.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Влияние внешних условий на поглощение питательных веществ растениями (свет, вода, те</w:t>
      </w:r>
      <w:r w:rsidRPr="008D6665">
        <w:rPr>
          <w:rFonts w:ascii="Times New Roman" w:hAnsi="Times New Roman"/>
          <w:sz w:val="24"/>
          <w:szCs w:val="24"/>
        </w:rPr>
        <w:t>м</w:t>
      </w:r>
      <w:r w:rsidRPr="008D6665">
        <w:rPr>
          <w:rFonts w:ascii="Times New Roman" w:hAnsi="Times New Roman"/>
          <w:sz w:val="24"/>
          <w:szCs w:val="24"/>
        </w:rPr>
        <w:t>пература).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внешних условий на поглощение питательных веществ растениями (концентрация и состав почвенного раствора, аэрация, реакция почвенной среды).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Физиологическая реакция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Способы внесения удобрений, их назначение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прикорневых и поверхностных подкормок азотными удобрениями на урожайность и качество зерна озимой пшеницы, совместное применение с пестицидами.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Плодородие почвы, его виды. Пути повышения эффективного плодородия почвы.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Состав почвы. Роль органической и минеральной частей почвы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Биологическая, механическая и физическая поглотительная способность почвы в связи с применением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Химическая поглотительная способность и ее значение для применения фосфорных удобр</w:t>
      </w:r>
      <w:r w:rsidRPr="008D6665">
        <w:rPr>
          <w:rFonts w:ascii="Times New Roman" w:hAnsi="Times New Roman"/>
          <w:sz w:val="24"/>
          <w:szCs w:val="24"/>
        </w:rPr>
        <w:t>е</w:t>
      </w:r>
      <w:r w:rsidRPr="008D6665">
        <w:rPr>
          <w:rFonts w:ascii="Times New Roman" w:hAnsi="Times New Roman"/>
          <w:sz w:val="24"/>
          <w:szCs w:val="24"/>
        </w:rPr>
        <w:t>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Физико-химическая или обменная поглотительная способность почв и ее практическое зн</w:t>
      </w:r>
      <w:r w:rsidRPr="008D6665">
        <w:rPr>
          <w:rFonts w:ascii="Times New Roman" w:hAnsi="Times New Roman"/>
          <w:sz w:val="24"/>
          <w:szCs w:val="24"/>
        </w:rPr>
        <w:t>а</w:t>
      </w:r>
      <w:r w:rsidRPr="008D6665">
        <w:rPr>
          <w:rFonts w:ascii="Times New Roman" w:hAnsi="Times New Roman"/>
          <w:sz w:val="24"/>
          <w:szCs w:val="24"/>
        </w:rPr>
        <w:t>чение для применения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Отношение сельскохозяйственных растений к реакции почвы.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Нуждаемость в гипсован</w:t>
      </w:r>
      <w:bookmarkStart w:id="0" w:name="_GoBack"/>
      <w:bookmarkEnd w:id="0"/>
      <w:r w:rsidRPr="008D6665">
        <w:rPr>
          <w:rFonts w:ascii="Times New Roman" w:hAnsi="Times New Roman"/>
          <w:sz w:val="24"/>
          <w:szCs w:val="24"/>
        </w:rPr>
        <w:t>ии (дозы, сроки и способы внесения гипса).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Нуждаемость в известковании (дозы, сроки и способы внесения извести).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Классификация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Роль азота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Особенности питания растений нитратами и аммиачным азотом.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Превращение азота в почве (аммонификация, нитрификация и денитрификация).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Содержание азота в почвах. Источники поступления и потерь азота в почве.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азотных удобрений на урожай и качество с.-х. культур, устойчивость растений к б</w:t>
      </w:r>
      <w:r w:rsidRPr="008D6665">
        <w:rPr>
          <w:rFonts w:ascii="Times New Roman" w:hAnsi="Times New Roman"/>
          <w:sz w:val="24"/>
          <w:szCs w:val="24"/>
        </w:rPr>
        <w:t>о</w:t>
      </w:r>
      <w:r w:rsidRPr="008D6665">
        <w:rPr>
          <w:rFonts w:ascii="Times New Roman" w:hAnsi="Times New Roman"/>
          <w:sz w:val="24"/>
          <w:szCs w:val="24"/>
        </w:rPr>
        <w:t>лезням и вредителям.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Ассортимент и свойства нитратных форм азотных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Ассортимент и свойства амидных форм азотных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Влияние фосфорных и калийных удобрений на урожай и качество с.-х. культур, устойчивость растений к болезням и вредителям.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>Ассортимент и свойства фосфорных удобрений.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Кальциевая селитра: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Натриевая селитра: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Хлористый аммоний: состав,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Сернокислый аммоний: состав,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Жидкий аммиак и аммиачная вода: </w:t>
      </w:r>
      <w:r w:rsidRPr="008D6665">
        <w:rPr>
          <w:rFonts w:ascii="Times New Roman" w:hAnsi="Times New Roman"/>
          <w:spacing w:val="-20"/>
          <w:sz w:val="24"/>
          <w:szCs w:val="24"/>
        </w:rPr>
        <w:t>свойства и условия</w:t>
      </w:r>
      <w:r w:rsidRPr="008D6665">
        <w:rPr>
          <w:rFonts w:ascii="Times New Roman" w:hAnsi="Times New Roman"/>
          <w:sz w:val="24"/>
          <w:szCs w:val="24"/>
        </w:rPr>
        <w:t xml:space="preserve">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Аммиачная селитра: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Мочевина: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lastRenderedPageBreak/>
        <w:t xml:space="preserve"> КАС: состав,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Роль фосфора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Содержание и формы соединений фосфора в почве.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Перспективы применения фосфорных удобрений. Сырье для производства фосфорных удо</w:t>
      </w:r>
      <w:r w:rsidRPr="008D6665">
        <w:rPr>
          <w:rFonts w:ascii="Times New Roman" w:hAnsi="Times New Roman"/>
          <w:sz w:val="24"/>
          <w:szCs w:val="24"/>
        </w:rPr>
        <w:t>б</w:t>
      </w:r>
      <w:r w:rsidRPr="008D6665">
        <w:rPr>
          <w:rFonts w:ascii="Times New Roman" w:hAnsi="Times New Roman"/>
          <w:sz w:val="24"/>
          <w:szCs w:val="24"/>
        </w:rPr>
        <w:t>рений.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Суперфосфат простой: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Концентрированный суперфосфат: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Преципитат: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Фосфоритная мука,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Роль калия в питании растений.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Соединения калия в почве. Круговорот и баланс калия в почве.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Хлористый калий: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40-% калийная соль: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Сернокислый калий: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Сырые калийные удобрения (сильвинит, карналлит):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Понятие о комплексных удобрениях. Ассортимент, свойства и их экономическое и агроте</w:t>
      </w:r>
      <w:r w:rsidRPr="008D6665">
        <w:rPr>
          <w:rFonts w:ascii="Times New Roman" w:hAnsi="Times New Roman"/>
          <w:sz w:val="24"/>
          <w:szCs w:val="24"/>
        </w:rPr>
        <w:t>х</w:t>
      </w:r>
      <w:r w:rsidRPr="008D6665">
        <w:rPr>
          <w:rFonts w:ascii="Times New Roman" w:hAnsi="Times New Roman"/>
          <w:sz w:val="24"/>
          <w:szCs w:val="24"/>
        </w:rPr>
        <w:t>ническое значение.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Аммофос: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Диаммофос: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Калийная селитра: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Нитрофос и нитрофоска: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6665">
        <w:rPr>
          <w:rFonts w:ascii="Times New Roman" w:hAnsi="Times New Roman"/>
          <w:sz w:val="24"/>
          <w:szCs w:val="24"/>
        </w:rPr>
        <w:t>Нитроаммофос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 и нитроаммофоска: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Жидкие комплексные удобрения, состав, свойства,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D6665">
        <w:rPr>
          <w:rFonts w:ascii="Times New Roman" w:hAnsi="Times New Roman"/>
          <w:sz w:val="24"/>
          <w:szCs w:val="24"/>
        </w:rPr>
        <w:t>Тукосмеси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: состав, свойства. Значение </w:t>
      </w:r>
      <w:proofErr w:type="spellStart"/>
      <w:r w:rsidRPr="008D6665">
        <w:rPr>
          <w:rFonts w:ascii="Times New Roman" w:hAnsi="Times New Roman"/>
          <w:sz w:val="24"/>
          <w:szCs w:val="24"/>
        </w:rPr>
        <w:t>тукосмешивания</w:t>
      </w:r>
      <w:proofErr w:type="spellEnd"/>
      <w:r w:rsidRPr="008D6665">
        <w:rPr>
          <w:rFonts w:ascii="Times New Roman" w:hAnsi="Times New Roman"/>
          <w:sz w:val="24"/>
          <w:szCs w:val="24"/>
        </w:rPr>
        <w:t>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Значение микроэлементов для растений, необходимость их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Борные и медные удобрения: роль в питании, содержание в почве, свойства и условия прим</w:t>
      </w:r>
      <w:r w:rsidRPr="008D6665">
        <w:rPr>
          <w:rFonts w:ascii="Times New Roman" w:hAnsi="Times New Roman"/>
          <w:sz w:val="24"/>
          <w:szCs w:val="24"/>
        </w:rPr>
        <w:t>е</w:t>
      </w:r>
      <w:r w:rsidRPr="008D6665">
        <w:rPr>
          <w:rFonts w:ascii="Times New Roman" w:hAnsi="Times New Roman"/>
          <w:sz w:val="24"/>
          <w:szCs w:val="24"/>
        </w:rPr>
        <w:t>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Цинковые и марганцевые удобрения: роль в питании, содержание в почве,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Молибденовые и кобальтовые удобрения: роль в питании, содержание в почве, свойства и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Правила хранения удобрений и подготовка их к внесению.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Задачи системы удобрения и принципы ее построения.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Особенности построения системы удобрений при комплексной химизации.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6665">
        <w:rPr>
          <w:rFonts w:ascii="Times New Roman" w:hAnsi="Times New Roman"/>
          <w:sz w:val="24"/>
          <w:szCs w:val="24"/>
        </w:rPr>
        <w:t>Способы (</w:t>
      </w:r>
      <w:proofErr w:type="spellStart"/>
      <w:r w:rsidRPr="008D6665">
        <w:rPr>
          <w:rFonts w:ascii="Times New Roman" w:hAnsi="Times New Roman"/>
          <w:sz w:val="24"/>
          <w:szCs w:val="24"/>
        </w:rPr>
        <w:t>допосевное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6665">
        <w:rPr>
          <w:rFonts w:ascii="Times New Roman" w:hAnsi="Times New Roman"/>
          <w:sz w:val="24"/>
          <w:szCs w:val="24"/>
        </w:rPr>
        <w:t>припосевное</w:t>
      </w:r>
      <w:proofErr w:type="spellEnd"/>
      <w:r w:rsidRPr="008D6665">
        <w:rPr>
          <w:rFonts w:ascii="Times New Roman" w:hAnsi="Times New Roman"/>
          <w:sz w:val="24"/>
          <w:szCs w:val="24"/>
        </w:rPr>
        <w:t>, послепосевное) и приемы (локальное, вразброс, запасное) внесение удобрения.</w:t>
      </w:r>
      <w:proofErr w:type="gramEnd"/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Определение норм удобрений  под сельскохозяйственные культуры (на основе полевых оп</w:t>
      </w:r>
      <w:r w:rsidRPr="008D6665">
        <w:rPr>
          <w:rFonts w:ascii="Times New Roman" w:hAnsi="Times New Roman"/>
          <w:sz w:val="24"/>
          <w:szCs w:val="24"/>
        </w:rPr>
        <w:t>ы</w:t>
      </w:r>
      <w:r w:rsidRPr="008D6665">
        <w:rPr>
          <w:rFonts w:ascii="Times New Roman" w:hAnsi="Times New Roman"/>
          <w:sz w:val="24"/>
          <w:szCs w:val="24"/>
        </w:rPr>
        <w:t xml:space="preserve">тов, картограмм, </w:t>
      </w:r>
      <w:proofErr w:type="spellStart"/>
      <w:r w:rsidRPr="008D6665">
        <w:rPr>
          <w:rFonts w:ascii="Times New Roman" w:hAnsi="Times New Roman"/>
          <w:sz w:val="24"/>
          <w:szCs w:val="24"/>
        </w:rPr>
        <w:t>балансово</w:t>
      </w:r>
      <w:proofErr w:type="spellEnd"/>
      <w:r w:rsidRPr="008D6665">
        <w:rPr>
          <w:rFonts w:ascii="Times New Roman" w:hAnsi="Times New Roman"/>
          <w:sz w:val="24"/>
          <w:szCs w:val="24"/>
        </w:rPr>
        <w:t>-расчетные методы).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Сочетание минеральных и органических удобрений при применении их под полевые культ</w:t>
      </w:r>
      <w:r w:rsidRPr="008D6665">
        <w:rPr>
          <w:rFonts w:ascii="Times New Roman" w:hAnsi="Times New Roman"/>
          <w:sz w:val="24"/>
          <w:szCs w:val="24"/>
        </w:rPr>
        <w:t>у</w:t>
      </w:r>
      <w:r w:rsidRPr="008D6665">
        <w:rPr>
          <w:rFonts w:ascii="Times New Roman" w:hAnsi="Times New Roman"/>
          <w:sz w:val="24"/>
          <w:szCs w:val="24"/>
        </w:rPr>
        <w:t>ры.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озимой пшеницы.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подсолнечника.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сахарной свеклы. 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кукурузы.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Удобрение яровых зерновых культур (ячмень, овес).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Качественное распознавание азотных удобрений в производственных условиях.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Качественное распознавание фосфорных удобрений в производственных условиях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Качественное распознавание  калийных удобрений в производственных условиях.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Солома как органическое удобрение, состав,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Птичий помет: его состав, хранение,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Значение и виды зеленого удобрения,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lastRenderedPageBreak/>
        <w:t xml:space="preserve"> Навозная жижа - состав, хранение, условия применения.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Подстилочный и </w:t>
      </w:r>
      <w:proofErr w:type="spellStart"/>
      <w:r w:rsidRPr="008D6665">
        <w:rPr>
          <w:rFonts w:ascii="Times New Roman" w:hAnsi="Times New Roman"/>
          <w:sz w:val="24"/>
          <w:szCs w:val="24"/>
        </w:rPr>
        <w:t>бесподстилочный</w:t>
      </w:r>
      <w:proofErr w:type="spellEnd"/>
      <w:r w:rsidRPr="008D6665">
        <w:rPr>
          <w:rFonts w:ascii="Times New Roman" w:hAnsi="Times New Roman"/>
          <w:sz w:val="24"/>
          <w:szCs w:val="24"/>
        </w:rPr>
        <w:t xml:space="preserve"> навоз. Их составные части, свойства, условия примен</w:t>
      </w:r>
      <w:r w:rsidRPr="008D6665">
        <w:rPr>
          <w:rFonts w:ascii="Times New Roman" w:hAnsi="Times New Roman"/>
          <w:sz w:val="24"/>
          <w:szCs w:val="24"/>
        </w:rPr>
        <w:t>е</w:t>
      </w:r>
      <w:r w:rsidRPr="008D6665">
        <w:rPr>
          <w:rFonts w:ascii="Times New Roman" w:hAnsi="Times New Roman"/>
          <w:sz w:val="24"/>
          <w:szCs w:val="24"/>
        </w:rPr>
        <w:t>ния.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Значение навоза и других органических удобрений в повышении урожаев сельскохозя</w:t>
      </w:r>
      <w:r w:rsidRPr="008D6665">
        <w:rPr>
          <w:rFonts w:ascii="Times New Roman" w:hAnsi="Times New Roman"/>
          <w:sz w:val="24"/>
          <w:szCs w:val="24"/>
        </w:rPr>
        <w:t>й</w:t>
      </w:r>
      <w:r w:rsidRPr="008D6665">
        <w:rPr>
          <w:rFonts w:ascii="Times New Roman" w:hAnsi="Times New Roman"/>
          <w:sz w:val="24"/>
          <w:szCs w:val="24"/>
        </w:rPr>
        <w:t>ственных культур и плодородия почвы.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Методы расчета экономической эффективности от удобрения сельскохозяйственной культ</w:t>
      </w:r>
      <w:r w:rsidRPr="008D6665">
        <w:rPr>
          <w:rFonts w:ascii="Times New Roman" w:hAnsi="Times New Roman"/>
          <w:sz w:val="24"/>
          <w:szCs w:val="24"/>
        </w:rPr>
        <w:t>у</w:t>
      </w:r>
      <w:r w:rsidRPr="008D6665">
        <w:rPr>
          <w:rFonts w:ascii="Times New Roman" w:hAnsi="Times New Roman"/>
          <w:sz w:val="24"/>
          <w:szCs w:val="24"/>
        </w:rPr>
        <w:t>ры, сорта, севооборота.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Эффективность органических удобрений в различных почвенно-климатических зонах страны, действие и последействие их на урожайность с.-х. культур.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Методы агрохимических исследований (полевой, вегетационный и производственный оп</w:t>
      </w:r>
      <w:r w:rsidRPr="008D6665">
        <w:rPr>
          <w:rFonts w:ascii="Times New Roman" w:hAnsi="Times New Roman"/>
          <w:sz w:val="24"/>
          <w:szCs w:val="24"/>
        </w:rPr>
        <w:t>ы</w:t>
      </w:r>
      <w:r w:rsidRPr="008D6665">
        <w:rPr>
          <w:rFonts w:ascii="Times New Roman" w:hAnsi="Times New Roman"/>
          <w:sz w:val="24"/>
          <w:szCs w:val="24"/>
        </w:rPr>
        <w:t>ты). Построение схемы полевых опытов.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Задачи и структура современной агрохимической службы РФ.</w:t>
      </w:r>
    </w:p>
    <w:p w:rsidR="000E21DA" w:rsidRPr="008D6665" w:rsidRDefault="000E21DA" w:rsidP="000E21DA">
      <w:pPr>
        <w:numPr>
          <w:ilvl w:val="0"/>
          <w:numId w:val="1"/>
        </w:numPr>
        <w:spacing w:after="0" w:line="240" w:lineRule="auto"/>
        <w:ind w:left="709" w:hanging="589"/>
        <w:jc w:val="both"/>
        <w:rPr>
          <w:rFonts w:ascii="Times New Roman" w:hAnsi="Times New Roman"/>
          <w:sz w:val="24"/>
          <w:szCs w:val="24"/>
        </w:rPr>
      </w:pPr>
      <w:r w:rsidRPr="008D6665">
        <w:rPr>
          <w:rFonts w:ascii="Times New Roman" w:hAnsi="Times New Roman"/>
          <w:sz w:val="24"/>
          <w:szCs w:val="24"/>
        </w:rPr>
        <w:t xml:space="preserve"> Охрана окружающей среды при использовании средств химизации.</w:t>
      </w:r>
    </w:p>
    <w:p w:rsidR="00D8789B" w:rsidRDefault="00D8789B"/>
    <w:sectPr w:rsidR="00D8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68F"/>
    <w:multiLevelType w:val="hybridMultilevel"/>
    <w:tmpl w:val="E234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89"/>
    <w:rsid w:val="000E21DA"/>
    <w:rsid w:val="00977789"/>
    <w:rsid w:val="00D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2020-12-09T20:57:00Z</dcterms:created>
  <dcterms:modified xsi:type="dcterms:W3CDTF">2020-12-09T20:59:00Z</dcterms:modified>
</cp:coreProperties>
</file>